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27" w:rsidRDefault="00486727" w:rsidP="00486727">
      <w:pPr>
        <w:ind w:left="-426" w:firstLine="567"/>
        <w:jc w:val="center"/>
        <w:rPr>
          <w:b/>
          <w:sz w:val="24"/>
          <w:szCs w:val="24"/>
        </w:rPr>
      </w:pPr>
      <w:r w:rsidRPr="00486727">
        <w:rPr>
          <w:b/>
          <w:sz w:val="24"/>
          <w:szCs w:val="24"/>
        </w:rPr>
        <w:t>Деятельность ОС осуществляется с учетом положений документов:</w:t>
      </w:r>
    </w:p>
    <w:p w:rsidR="00486727" w:rsidRPr="00486727" w:rsidRDefault="00486727" w:rsidP="00486727">
      <w:pPr>
        <w:ind w:left="-426" w:firstLine="567"/>
        <w:jc w:val="center"/>
        <w:rPr>
          <w:b/>
          <w:sz w:val="24"/>
          <w:szCs w:val="24"/>
        </w:rPr>
      </w:pPr>
    </w:p>
    <w:p w:rsidR="00486727" w:rsidRPr="002B056E" w:rsidRDefault="00486727" w:rsidP="00486727">
      <w:pPr>
        <w:widowControl w:val="0"/>
        <w:tabs>
          <w:tab w:val="num" w:pos="567"/>
        </w:tabs>
        <w:ind w:left="-426" w:firstLine="567"/>
        <w:jc w:val="both"/>
        <w:rPr>
          <w:sz w:val="24"/>
          <w:szCs w:val="24"/>
        </w:rPr>
      </w:pPr>
      <w:r w:rsidRPr="002B056E">
        <w:rPr>
          <w:sz w:val="24"/>
          <w:szCs w:val="24"/>
        </w:rPr>
        <w:t xml:space="preserve">-  Федеральный закон от 27 декабря </w:t>
      </w:r>
      <w:smartTag w:uri="urn:schemas-microsoft-com:office:smarttags" w:element="metricconverter">
        <w:smartTagPr>
          <w:attr w:name="ProductID" w:val="2011 г"/>
        </w:smartTagPr>
        <w:r w:rsidRPr="002B056E">
          <w:rPr>
            <w:sz w:val="24"/>
            <w:szCs w:val="24"/>
          </w:rPr>
          <w:t>2002 г</w:t>
        </w:r>
      </w:smartTag>
      <w:r w:rsidRPr="002B056E">
        <w:rPr>
          <w:sz w:val="24"/>
          <w:szCs w:val="24"/>
        </w:rPr>
        <w:t xml:space="preserve">. № 184-ФЗ «О техническом регулировании»; </w:t>
      </w:r>
    </w:p>
    <w:p w:rsidR="00486727" w:rsidRPr="002B056E" w:rsidRDefault="00486727" w:rsidP="00486727">
      <w:pPr>
        <w:widowControl w:val="0"/>
        <w:tabs>
          <w:tab w:val="num" w:pos="567"/>
        </w:tabs>
        <w:ind w:left="-426" w:firstLine="567"/>
        <w:jc w:val="both"/>
        <w:rPr>
          <w:sz w:val="24"/>
          <w:szCs w:val="24"/>
        </w:rPr>
      </w:pPr>
      <w:r w:rsidRPr="002B056E">
        <w:rPr>
          <w:sz w:val="24"/>
          <w:szCs w:val="24"/>
        </w:rPr>
        <w:t>- Федеральный закон №412-ФЗ от 28.12.2013г. «Об аккредитации в национальной системе аккредитации»;</w:t>
      </w:r>
    </w:p>
    <w:p w:rsidR="00486727" w:rsidRPr="002B056E" w:rsidRDefault="00486727" w:rsidP="00486727">
      <w:pPr>
        <w:widowControl w:val="0"/>
        <w:tabs>
          <w:tab w:val="num" w:pos="567"/>
        </w:tabs>
        <w:ind w:left="-426" w:firstLine="567"/>
        <w:jc w:val="both"/>
        <w:rPr>
          <w:sz w:val="24"/>
          <w:szCs w:val="24"/>
        </w:rPr>
      </w:pPr>
      <w:r w:rsidRPr="002B056E">
        <w:rPr>
          <w:sz w:val="24"/>
          <w:szCs w:val="24"/>
        </w:rPr>
        <w:t>- Приказ Министерства экономического развития Российской Федерации от 30.05.2014 г. № 326 «Об утверждении Критериев аккредитации …» (далее – критерии аккредитации);</w:t>
      </w:r>
    </w:p>
    <w:p w:rsidR="00486727" w:rsidRPr="002B056E" w:rsidRDefault="00486727" w:rsidP="00486727">
      <w:pPr>
        <w:pStyle w:val="ConsPlusTitle"/>
        <w:widowControl/>
        <w:ind w:left="-426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056E">
        <w:rPr>
          <w:rFonts w:ascii="Times New Roman" w:hAnsi="Times New Roman" w:cs="Times New Roman"/>
          <w:bCs w:val="0"/>
          <w:sz w:val="24"/>
          <w:szCs w:val="24"/>
        </w:rPr>
        <w:t xml:space="preserve">-  </w:t>
      </w:r>
      <w:r w:rsidRPr="002B056E">
        <w:rPr>
          <w:rFonts w:ascii="Times New Roman" w:hAnsi="Times New Roman" w:cs="Times New Roman"/>
          <w:b w:val="0"/>
          <w:sz w:val="24"/>
          <w:szCs w:val="24"/>
        </w:rPr>
        <w:t>Решение комиссии Таможенного союза от 18.06.2010 г. № 319 «О техническом регулировании в Таможенном союзе»;</w:t>
      </w:r>
    </w:p>
    <w:p w:rsidR="00486727" w:rsidRPr="002B056E" w:rsidRDefault="00486727" w:rsidP="00486727">
      <w:pPr>
        <w:ind w:left="-426" w:firstLine="567"/>
        <w:jc w:val="both"/>
        <w:rPr>
          <w:sz w:val="24"/>
          <w:szCs w:val="24"/>
        </w:rPr>
      </w:pPr>
      <w:r w:rsidRPr="002B056E">
        <w:rPr>
          <w:sz w:val="24"/>
          <w:szCs w:val="24"/>
        </w:rPr>
        <w:t>ГОСТ Р ИСО/МЭК 17065-2012 «Оценка соответствия. Требования к органам по сертификации продукции, процессов и услуг»</w:t>
      </w:r>
    </w:p>
    <w:p w:rsidR="00486727" w:rsidRPr="002B056E" w:rsidRDefault="00486727" w:rsidP="00486727">
      <w:pPr>
        <w:ind w:left="-426" w:firstLine="567"/>
        <w:rPr>
          <w:sz w:val="24"/>
          <w:szCs w:val="24"/>
        </w:rPr>
      </w:pPr>
      <w:r w:rsidRPr="002B056E">
        <w:rPr>
          <w:sz w:val="24"/>
          <w:szCs w:val="24"/>
        </w:rPr>
        <w:t>-  Приказ Минэкономразвития России от 30.05.2014 N 329 "Об утверждении Положения о составе сведений …»;</w:t>
      </w:r>
    </w:p>
    <w:p w:rsidR="00486727" w:rsidRPr="002B056E" w:rsidRDefault="00486727" w:rsidP="00486727">
      <w:pPr>
        <w:widowControl w:val="0"/>
        <w:tabs>
          <w:tab w:val="num" w:pos="567"/>
        </w:tabs>
        <w:ind w:left="-426" w:firstLine="567"/>
        <w:jc w:val="both"/>
        <w:rPr>
          <w:sz w:val="24"/>
          <w:szCs w:val="24"/>
        </w:rPr>
      </w:pPr>
      <w:r w:rsidRPr="002B056E">
        <w:rPr>
          <w:sz w:val="24"/>
          <w:szCs w:val="24"/>
        </w:rPr>
        <w:t xml:space="preserve">-  </w:t>
      </w:r>
      <w:proofErr w:type="gramStart"/>
      <w:r w:rsidRPr="002B056E">
        <w:rPr>
          <w:sz w:val="24"/>
          <w:szCs w:val="24"/>
        </w:rPr>
        <w:t>ГОСТ  31814</w:t>
      </w:r>
      <w:proofErr w:type="gramEnd"/>
      <w:r w:rsidRPr="002B056E">
        <w:rPr>
          <w:sz w:val="24"/>
          <w:szCs w:val="24"/>
        </w:rPr>
        <w:t>-2012 «Оценка соответствия. Общие правила отбора образцов для испытаний продукции при подтверждении соответствия»</w:t>
      </w:r>
    </w:p>
    <w:p w:rsidR="00486727" w:rsidRPr="002B056E" w:rsidRDefault="00486727" w:rsidP="00486727">
      <w:pPr>
        <w:widowControl w:val="0"/>
        <w:tabs>
          <w:tab w:val="num" w:pos="567"/>
        </w:tabs>
        <w:ind w:left="-426" w:firstLine="567"/>
        <w:jc w:val="both"/>
        <w:rPr>
          <w:sz w:val="24"/>
          <w:szCs w:val="24"/>
        </w:rPr>
      </w:pPr>
      <w:r w:rsidRPr="002B056E">
        <w:rPr>
          <w:sz w:val="24"/>
          <w:szCs w:val="24"/>
        </w:rPr>
        <w:t>- ГОСТ Р 54293-2010 «Анализ состояния производства при подтверждении соответствия»;</w:t>
      </w:r>
    </w:p>
    <w:p w:rsidR="00486727" w:rsidRPr="002B056E" w:rsidRDefault="00486727" w:rsidP="00486727">
      <w:pPr>
        <w:widowControl w:val="0"/>
        <w:tabs>
          <w:tab w:val="num" w:pos="567"/>
        </w:tabs>
        <w:ind w:left="-426" w:firstLine="567"/>
        <w:jc w:val="both"/>
        <w:rPr>
          <w:sz w:val="24"/>
          <w:szCs w:val="24"/>
        </w:rPr>
      </w:pPr>
      <w:r w:rsidRPr="002B056E">
        <w:rPr>
          <w:sz w:val="24"/>
          <w:szCs w:val="24"/>
        </w:rPr>
        <w:t>- ГОСТ 31815-2012 «Оценка соответствия. Порядок проведения инспекционного контроля в процедурах сертификации»;</w:t>
      </w:r>
    </w:p>
    <w:p w:rsidR="00486727" w:rsidRPr="002B056E" w:rsidRDefault="00486727" w:rsidP="00486727">
      <w:pPr>
        <w:widowControl w:val="0"/>
        <w:tabs>
          <w:tab w:val="num" w:pos="567"/>
        </w:tabs>
        <w:ind w:left="-426" w:firstLine="567"/>
        <w:jc w:val="both"/>
        <w:rPr>
          <w:sz w:val="24"/>
          <w:szCs w:val="24"/>
        </w:rPr>
      </w:pPr>
      <w:r w:rsidRPr="002B056E">
        <w:rPr>
          <w:sz w:val="24"/>
          <w:szCs w:val="24"/>
        </w:rPr>
        <w:t>- ГОСТ Р 53603-2009 «Оценка соответствия. Схемы сертификации продукции в Российской Федерации»;</w:t>
      </w:r>
    </w:p>
    <w:p w:rsidR="00486727" w:rsidRPr="002B056E" w:rsidRDefault="00486727" w:rsidP="00486727">
      <w:pPr>
        <w:widowControl w:val="0"/>
        <w:tabs>
          <w:tab w:val="num" w:pos="567"/>
        </w:tabs>
        <w:ind w:left="-426" w:firstLine="567"/>
        <w:jc w:val="both"/>
        <w:rPr>
          <w:sz w:val="24"/>
          <w:szCs w:val="24"/>
        </w:rPr>
      </w:pPr>
      <w:r w:rsidRPr="002B056E">
        <w:rPr>
          <w:sz w:val="24"/>
          <w:szCs w:val="24"/>
        </w:rPr>
        <w:t>- ГОСТ Р 54008-2010 «Оценка соответствия. Схемы декларирования соответствия»;</w:t>
      </w:r>
    </w:p>
    <w:p w:rsidR="00486727" w:rsidRPr="002B056E" w:rsidRDefault="00486727" w:rsidP="00486727">
      <w:pPr>
        <w:widowControl w:val="0"/>
        <w:tabs>
          <w:tab w:val="num" w:pos="567"/>
        </w:tabs>
        <w:ind w:left="-426" w:firstLine="567"/>
        <w:jc w:val="both"/>
        <w:rPr>
          <w:sz w:val="24"/>
          <w:szCs w:val="24"/>
        </w:rPr>
      </w:pPr>
      <w:r w:rsidRPr="002B056E">
        <w:rPr>
          <w:sz w:val="24"/>
          <w:szCs w:val="24"/>
        </w:rPr>
        <w:t>- «Порядок регистрации деклараций о соответствии и Порядок формирования и ведения единого реестра зарегистрированных деклараций о соответствии, предоставления содержащихся в указанном реестре сведений» (утв. приказом Минэкономразвития России от 21 февраля 2012 г. № 76);</w:t>
      </w:r>
    </w:p>
    <w:p w:rsidR="00486727" w:rsidRPr="002B056E" w:rsidRDefault="00486727" w:rsidP="00486727">
      <w:pPr>
        <w:widowControl w:val="0"/>
        <w:tabs>
          <w:tab w:val="num" w:pos="567"/>
        </w:tabs>
        <w:ind w:left="-426" w:firstLine="567"/>
        <w:jc w:val="both"/>
        <w:rPr>
          <w:sz w:val="24"/>
          <w:szCs w:val="24"/>
        </w:rPr>
      </w:pPr>
      <w:r w:rsidRPr="002B056E">
        <w:rPr>
          <w:sz w:val="24"/>
          <w:szCs w:val="24"/>
        </w:rPr>
        <w:t>- «Положение о порядке применения типовых схем оценки (подтверждения) соответствия требованиям технических регламентов Таможенного союза» (утв. решением Комиссии Таможенного союза от 7 апреля 2011 года № 621);</w:t>
      </w:r>
    </w:p>
    <w:p w:rsidR="00486727" w:rsidRPr="002B056E" w:rsidRDefault="00486727" w:rsidP="00486727">
      <w:pPr>
        <w:widowControl w:val="0"/>
        <w:tabs>
          <w:tab w:val="num" w:pos="567"/>
        </w:tabs>
        <w:ind w:left="-426" w:firstLine="567"/>
        <w:jc w:val="both"/>
        <w:rPr>
          <w:sz w:val="24"/>
          <w:szCs w:val="24"/>
        </w:rPr>
      </w:pPr>
      <w:r w:rsidRPr="002B056E">
        <w:rPr>
          <w:sz w:val="24"/>
          <w:szCs w:val="24"/>
        </w:rPr>
        <w:t>- Единые формы документов об оценке (подтверждении) соответствия: декларации о соответствии техническим регламентам Таможенного союза; сертификата соответствия техническим регламентам Таможенного союза (утв. решением Коллегии Евразийской экономической комиссии от 25 декабря 2012 г. № 293);</w:t>
      </w:r>
    </w:p>
    <w:p w:rsidR="00486727" w:rsidRPr="002B056E" w:rsidRDefault="00486727" w:rsidP="00486727">
      <w:pPr>
        <w:widowControl w:val="0"/>
        <w:tabs>
          <w:tab w:val="num" w:pos="567"/>
        </w:tabs>
        <w:ind w:left="-426" w:firstLine="567"/>
        <w:jc w:val="both"/>
        <w:rPr>
          <w:sz w:val="24"/>
          <w:szCs w:val="24"/>
        </w:rPr>
      </w:pPr>
      <w:r w:rsidRPr="002B056E">
        <w:rPr>
          <w:sz w:val="24"/>
          <w:szCs w:val="24"/>
        </w:rPr>
        <w:t>- Положение о регистрации деклараций о соответствии продукции требованиям технических регламентов Таможенного союза, утвержденные Решением Коллегии Евразийской экономической комиссии № 76 от 09.04.2013 г.;</w:t>
      </w:r>
    </w:p>
    <w:p w:rsidR="00486727" w:rsidRPr="002B056E" w:rsidRDefault="00486727" w:rsidP="00486727">
      <w:pPr>
        <w:widowControl w:val="0"/>
        <w:tabs>
          <w:tab w:val="num" w:pos="567"/>
        </w:tabs>
        <w:ind w:left="-426" w:firstLine="567"/>
        <w:jc w:val="both"/>
        <w:rPr>
          <w:sz w:val="24"/>
          <w:szCs w:val="24"/>
        </w:rPr>
      </w:pPr>
      <w:r w:rsidRPr="002B056E">
        <w:rPr>
          <w:sz w:val="24"/>
          <w:szCs w:val="24"/>
        </w:rPr>
        <w:t xml:space="preserve">- Постановление Правительства </w:t>
      </w:r>
      <w:proofErr w:type="gramStart"/>
      <w:r w:rsidRPr="002B056E">
        <w:rPr>
          <w:sz w:val="24"/>
          <w:szCs w:val="24"/>
        </w:rPr>
        <w:t>РФ  от</w:t>
      </w:r>
      <w:proofErr w:type="gramEnd"/>
      <w:r w:rsidRPr="002B056E">
        <w:rPr>
          <w:sz w:val="24"/>
          <w:szCs w:val="24"/>
        </w:rPr>
        <w:t xml:space="preserve"> 18 сентября 2012 г. N 942 «О порядке декларирования соответствия впервые выпускаемой в обращение продукции»;</w:t>
      </w:r>
    </w:p>
    <w:p w:rsidR="00486727" w:rsidRPr="002B056E" w:rsidRDefault="00486727" w:rsidP="00486727">
      <w:pPr>
        <w:widowControl w:val="0"/>
        <w:tabs>
          <w:tab w:val="num" w:pos="567"/>
        </w:tabs>
        <w:ind w:left="-426" w:firstLine="567"/>
        <w:jc w:val="both"/>
        <w:rPr>
          <w:sz w:val="24"/>
          <w:szCs w:val="24"/>
        </w:rPr>
      </w:pPr>
      <w:r w:rsidRPr="002B056E">
        <w:rPr>
          <w:sz w:val="24"/>
          <w:szCs w:val="24"/>
        </w:rPr>
        <w:t>- Единая Товарная номенклатура внешнеэкономической деятельности Таможенного союза (ТН ВЭД ТС);</w:t>
      </w:r>
    </w:p>
    <w:p w:rsidR="00486727" w:rsidRPr="002B056E" w:rsidRDefault="00486727" w:rsidP="00486727">
      <w:pPr>
        <w:widowControl w:val="0"/>
        <w:tabs>
          <w:tab w:val="num" w:pos="567"/>
        </w:tabs>
        <w:ind w:left="-426" w:firstLine="567"/>
        <w:jc w:val="both"/>
        <w:rPr>
          <w:sz w:val="24"/>
          <w:szCs w:val="24"/>
        </w:rPr>
      </w:pPr>
      <w:r w:rsidRPr="002B056E">
        <w:rPr>
          <w:sz w:val="24"/>
          <w:szCs w:val="24"/>
        </w:rPr>
        <w:t>- ОК 005-93 «Общероссийский классификатор продукции» (утв. постановлением Госстандарта России от 30.12.1993г. № 301, введен 01.07.1994г., ред. от 12.12.2012г.).</w:t>
      </w:r>
    </w:p>
    <w:p w:rsidR="00486727" w:rsidRPr="002B056E" w:rsidRDefault="00486727" w:rsidP="00486727">
      <w:pPr>
        <w:autoSpaceDE w:val="0"/>
        <w:autoSpaceDN w:val="0"/>
        <w:adjustRightInd w:val="0"/>
        <w:ind w:left="-426" w:firstLine="567"/>
        <w:jc w:val="both"/>
        <w:rPr>
          <w:sz w:val="24"/>
          <w:szCs w:val="24"/>
        </w:rPr>
      </w:pPr>
      <w:r w:rsidRPr="002B056E">
        <w:rPr>
          <w:sz w:val="24"/>
          <w:szCs w:val="24"/>
        </w:rPr>
        <w:t>- ТР ТС 006/2011 «О безопасности пиротехнических изделий».</w:t>
      </w:r>
    </w:p>
    <w:p w:rsidR="00486727" w:rsidRPr="002B056E" w:rsidRDefault="00486727" w:rsidP="00486727">
      <w:pPr>
        <w:tabs>
          <w:tab w:val="num" w:pos="720"/>
        </w:tabs>
        <w:ind w:left="-426" w:firstLine="0"/>
        <w:rPr>
          <w:sz w:val="24"/>
          <w:szCs w:val="24"/>
        </w:rPr>
      </w:pPr>
      <w:r w:rsidRPr="002B056E">
        <w:rPr>
          <w:sz w:val="24"/>
          <w:szCs w:val="24"/>
        </w:rPr>
        <w:t>- ТР ТС 028/2012 «О безопасности взрывчатых веществ и изделий на их основе»</w:t>
      </w:r>
    </w:p>
    <w:p w:rsidR="00486727" w:rsidRPr="002B056E" w:rsidRDefault="00486727" w:rsidP="00486727">
      <w:pPr>
        <w:tabs>
          <w:tab w:val="num" w:pos="720"/>
        </w:tabs>
        <w:ind w:left="-426" w:firstLine="0"/>
        <w:rPr>
          <w:sz w:val="24"/>
          <w:szCs w:val="24"/>
        </w:rPr>
      </w:pPr>
      <w:r w:rsidRPr="002B056E">
        <w:rPr>
          <w:sz w:val="24"/>
          <w:szCs w:val="24"/>
        </w:rPr>
        <w:t>- ГОСТ 19433 «Грузы опасные. Классификация и маркировка»</w:t>
      </w:r>
    </w:p>
    <w:p w:rsidR="00486727" w:rsidRPr="002B056E" w:rsidRDefault="00486727" w:rsidP="00486727">
      <w:pPr>
        <w:tabs>
          <w:tab w:val="num" w:pos="720"/>
        </w:tabs>
        <w:ind w:left="-426" w:firstLine="0"/>
        <w:rPr>
          <w:sz w:val="24"/>
          <w:szCs w:val="24"/>
        </w:rPr>
      </w:pPr>
      <w:r w:rsidRPr="002B056E">
        <w:rPr>
          <w:sz w:val="24"/>
          <w:szCs w:val="24"/>
        </w:rPr>
        <w:t>- ГОСТ 26319 «Грузы опасные. Упаковка»</w:t>
      </w:r>
    </w:p>
    <w:p w:rsidR="00486727" w:rsidRPr="002B056E" w:rsidRDefault="00486727" w:rsidP="00486727">
      <w:pPr>
        <w:ind w:left="-426" w:right="55" w:firstLine="567"/>
        <w:rPr>
          <w:rStyle w:val="FontStyle45"/>
          <w:sz w:val="24"/>
          <w:szCs w:val="24"/>
        </w:rPr>
      </w:pPr>
      <w:r w:rsidRPr="002B056E">
        <w:rPr>
          <w:rStyle w:val="FontStyle45"/>
          <w:sz w:val="24"/>
          <w:szCs w:val="24"/>
        </w:rPr>
        <w:t xml:space="preserve">  - </w:t>
      </w:r>
      <w:proofErr w:type="gramStart"/>
      <w:r w:rsidRPr="002B056E">
        <w:rPr>
          <w:rStyle w:val="FontStyle45"/>
          <w:sz w:val="24"/>
          <w:szCs w:val="24"/>
        </w:rPr>
        <w:t>ГОСТ  9089</w:t>
      </w:r>
      <w:proofErr w:type="gramEnd"/>
      <w:r w:rsidRPr="002B056E">
        <w:rPr>
          <w:rStyle w:val="FontStyle45"/>
          <w:sz w:val="24"/>
          <w:szCs w:val="24"/>
        </w:rPr>
        <w:t>-75 Детонаторы мгновенного действия. Технические условия.</w:t>
      </w:r>
    </w:p>
    <w:p w:rsidR="00486727" w:rsidRPr="002B056E" w:rsidRDefault="00486727" w:rsidP="00486727">
      <w:pPr>
        <w:ind w:left="-426" w:right="55"/>
        <w:rPr>
          <w:rStyle w:val="FontStyle45"/>
          <w:sz w:val="24"/>
          <w:szCs w:val="24"/>
        </w:rPr>
      </w:pPr>
      <w:r w:rsidRPr="002B056E">
        <w:rPr>
          <w:rStyle w:val="FontStyle45"/>
          <w:sz w:val="24"/>
          <w:szCs w:val="24"/>
        </w:rPr>
        <w:t>- ГОСТ 21806-75 Электродетонаторы предохранительные короткозамедленного действия. Технические условия.</w:t>
      </w:r>
    </w:p>
    <w:p w:rsidR="00486727" w:rsidRPr="002B056E" w:rsidRDefault="00486727" w:rsidP="00486727">
      <w:pPr>
        <w:ind w:left="-426" w:right="55"/>
        <w:rPr>
          <w:rStyle w:val="FontStyle45"/>
          <w:sz w:val="24"/>
          <w:szCs w:val="24"/>
        </w:rPr>
      </w:pPr>
      <w:r w:rsidRPr="002B056E">
        <w:rPr>
          <w:rStyle w:val="FontStyle45"/>
          <w:sz w:val="24"/>
          <w:szCs w:val="24"/>
        </w:rPr>
        <w:t>- ГОСТ 7574-71 Капсюли-воспламенители центрального боя для патронов охотничьих ружей. Технические условия.</w:t>
      </w:r>
    </w:p>
    <w:p w:rsidR="00D93AB6" w:rsidRPr="002B056E" w:rsidRDefault="00486727" w:rsidP="00486727">
      <w:pPr>
        <w:ind w:left="-426" w:right="55"/>
        <w:rPr>
          <w:rStyle w:val="FontStyle45"/>
          <w:sz w:val="24"/>
          <w:szCs w:val="24"/>
        </w:rPr>
      </w:pPr>
      <w:r w:rsidRPr="002B056E">
        <w:rPr>
          <w:rStyle w:val="FontStyle45"/>
          <w:sz w:val="24"/>
          <w:szCs w:val="24"/>
        </w:rPr>
        <w:t>- ГОСТ 24579-81 Капсюли-воспламенители «жевело». Технические условия.</w:t>
      </w:r>
    </w:p>
    <w:tbl>
      <w:tblPr>
        <w:tblW w:w="11375" w:type="dxa"/>
        <w:tblInd w:w="-5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2"/>
        <w:gridCol w:w="20"/>
        <w:gridCol w:w="7833"/>
      </w:tblGrid>
      <w:tr w:rsidR="002B056E" w:rsidRPr="002B056E" w:rsidTr="002B056E">
        <w:trPr>
          <w:trHeight w:val="255"/>
        </w:trPr>
        <w:tc>
          <w:tcPr>
            <w:tcW w:w="3522" w:type="dxa"/>
            <w:noWrap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lastRenderedPageBreak/>
              <w:t>ГОСТ 4117-78</w:t>
            </w:r>
          </w:p>
        </w:tc>
        <w:tc>
          <w:tcPr>
            <w:tcW w:w="20" w:type="dxa"/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Тротил для промышленных взрывчатых веществ. Технические условия</w:t>
            </w:r>
          </w:p>
        </w:tc>
      </w:tr>
      <w:tr w:rsidR="002B056E" w:rsidRPr="002B056E" w:rsidTr="002B056E">
        <w:trPr>
          <w:trHeight w:val="255"/>
        </w:trPr>
        <w:tc>
          <w:tcPr>
            <w:tcW w:w="3522" w:type="dxa"/>
            <w:noWrap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ГОСТ 4545-88</w:t>
            </w:r>
          </w:p>
        </w:tc>
        <w:tc>
          <w:tcPr>
            <w:tcW w:w="20" w:type="dxa"/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Вещества взрывчатые бризантные. Методы определения характеристик чувствительности к удару</w:t>
            </w:r>
          </w:p>
        </w:tc>
      </w:tr>
      <w:tr w:rsidR="002B056E" w:rsidRPr="002B056E" w:rsidTr="002B056E">
        <w:trPr>
          <w:trHeight w:val="255"/>
        </w:trPr>
        <w:tc>
          <w:tcPr>
            <w:tcW w:w="3522" w:type="dxa"/>
            <w:noWrap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ГОСТ 6254-85</w:t>
            </w:r>
          </w:p>
        </w:tc>
        <w:tc>
          <w:tcPr>
            <w:tcW w:w="20" w:type="dxa"/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Капсюли-детонаторы для взрывных работ. Технические условия</w:t>
            </w:r>
          </w:p>
        </w:tc>
      </w:tr>
      <w:tr w:rsidR="002B056E" w:rsidRPr="002B056E" w:rsidTr="002B056E">
        <w:trPr>
          <w:trHeight w:val="255"/>
        </w:trPr>
        <w:tc>
          <w:tcPr>
            <w:tcW w:w="3522" w:type="dxa"/>
            <w:noWrap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ГОСТ 7140-98</w:t>
            </w:r>
          </w:p>
        </w:tc>
        <w:tc>
          <w:tcPr>
            <w:tcW w:w="20" w:type="dxa"/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 xml:space="preserve">Вещества взрывчатые промышленные. Методы испытаний в </w:t>
            </w:r>
            <w:proofErr w:type="spellStart"/>
            <w:r w:rsidRPr="002B056E">
              <w:rPr>
                <w:rFonts w:eastAsia="Arial Unicode MS"/>
                <w:sz w:val="24"/>
                <w:szCs w:val="24"/>
              </w:rPr>
              <w:t>метановоздушной</w:t>
            </w:r>
            <w:proofErr w:type="spellEnd"/>
            <w:r w:rsidRPr="002B056E">
              <w:rPr>
                <w:rFonts w:eastAsia="Arial Unicode MS"/>
                <w:sz w:val="24"/>
                <w:szCs w:val="24"/>
              </w:rPr>
              <w:t xml:space="preserve"> и пылевоздушной смесях</w:t>
            </w:r>
          </w:p>
        </w:tc>
      </w:tr>
      <w:tr w:rsidR="002B056E" w:rsidRPr="002B056E" w:rsidTr="002B056E">
        <w:trPr>
          <w:trHeight w:val="255"/>
        </w:trPr>
        <w:tc>
          <w:tcPr>
            <w:tcW w:w="3522" w:type="dxa"/>
            <w:noWrap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ГОСТ 12696-77</w:t>
            </w:r>
          </w:p>
        </w:tc>
        <w:tc>
          <w:tcPr>
            <w:tcW w:w="20" w:type="dxa"/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 xml:space="preserve">Вещества взрывчатые промышленные. </w:t>
            </w:r>
            <w:proofErr w:type="spellStart"/>
            <w:r w:rsidRPr="002B056E">
              <w:rPr>
                <w:rFonts w:eastAsia="Arial Unicode MS"/>
                <w:sz w:val="24"/>
                <w:szCs w:val="24"/>
              </w:rPr>
              <w:t>Алюмотол</w:t>
            </w:r>
            <w:proofErr w:type="spellEnd"/>
            <w:r w:rsidRPr="002B056E">
              <w:rPr>
                <w:rFonts w:eastAsia="Arial Unicode MS"/>
                <w:sz w:val="24"/>
                <w:szCs w:val="24"/>
              </w:rPr>
              <w:t>. Технические условия</w:t>
            </w:r>
          </w:p>
        </w:tc>
      </w:tr>
      <w:tr w:rsidR="002B056E" w:rsidRPr="002B056E" w:rsidTr="002B056E">
        <w:trPr>
          <w:trHeight w:val="255"/>
        </w:trPr>
        <w:tc>
          <w:tcPr>
            <w:tcW w:w="3522" w:type="dxa"/>
            <w:noWrap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ГОСТ 13208-78</w:t>
            </w:r>
          </w:p>
        </w:tc>
        <w:tc>
          <w:tcPr>
            <w:tcW w:w="20" w:type="dxa"/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 xml:space="preserve">Изделия пиротехнические </w:t>
            </w:r>
            <w:proofErr w:type="spellStart"/>
            <w:r w:rsidRPr="002B056E">
              <w:rPr>
                <w:rFonts w:eastAsia="Arial Unicode MS"/>
                <w:sz w:val="24"/>
                <w:szCs w:val="24"/>
              </w:rPr>
              <w:t>фотоосветительные</w:t>
            </w:r>
            <w:proofErr w:type="spellEnd"/>
            <w:r w:rsidRPr="002B056E">
              <w:rPr>
                <w:rFonts w:eastAsia="Arial Unicode MS"/>
                <w:sz w:val="24"/>
                <w:szCs w:val="24"/>
              </w:rPr>
              <w:t xml:space="preserve">. Метод </w:t>
            </w:r>
            <w:proofErr w:type="spellStart"/>
            <w:r w:rsidRPr="002B056E">
              <w:rPr>
                <w:rFonts w:eastAsia="Arial Unicode MS"/>
                <w:sz w:val="24"/>
                <w:szCs w:val="24"/>
              </w:rPr>
              <w:t>фотометрирования</w:t>
            </w:r>
            <w:proofErr w:type="spellEnd"/>
          </w:p>
        </w:tc>
      </w:tr>
      <w:tr w:rsidR="002B056E" w:rsidRPr="002B056E" w:rsidTr="002B056E">
        <w:trPr>
          <w:trHeight w:val="255"/>
        </w:trPr>
        <w:tc>
          <w:tcPr>
            <w:tcW w:w="3522" w:type="dxa"/>
            <w:noWrap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ГОСТ 14839.13-69</w:t>
            </w:r>
          </w:p>
        </w:tc>
        <w:tc>
          <w:tcPr>
            <w:tcW w:w="20" w:type="dxa"/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Взрывчатые вещества промышленные. Метод определения водоустойчивости</w:t>
            </w:r>
          </w:p>
        </w:tc>
      </w:tr>
      <w:tr w:rsidR="002B056E" w:rsidRPr="002B056E" w:rsidTr="002B056E">
        <w:trPr>
          <w:trHeight w:val="916"/>
        </w:trPr>
        <w:tc>
          <w:tcPr>
            <w:tcW w:w="3522" w:type="dxa"/>
            <w:noWrap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2B056E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ГОСТ 14839.15-69</w:t>
            </w:r>
          </w:p>
        </w:tc>
        <w:tc>
          <w:tcPr>
            <w:tcW w:w="20" w:type="dxa"/>
          </w:tcPr>
          <w:p w:rsidR="002B056E" w:rsidRPr="002B056E" w:rsidRDefault="002B056E" w:rsidP="002B056E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2B056E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Взрывчатые вещества промышленные. Метод определения способности к передаче детонации на расстояние</w:t>
            </w:r>
          </w:p>
        </w:tc>
      </w:tr>
      <w:tr w:rsidR="002B056E" w:rsidRPr="002B056E" w:rsidTr="002B056E">
        <w:trPr>
          <w:trHeight w:val="916"/>
        </w:trPr>
        <w:tc>
          <w:tcPr>
            <w:tcW w:w="3522" w:type="dxa"/>
            <w:noWrap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ГОСТ 14839.20-77</w:t>
            </w:r>
          </w:p>
        </w:tc>
        <w:tc>
          <w:tcPr>
            <w:tcW w:w="20" w:type="dxa"/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Вещества взрывчатые промышленные. Упаковка, маркировка, транспортирование и хранение</w:t>
            </w:r>
          </w:p>
        </w:tc>
      </w:tr>
      <w:tr w:rsidR="002B056E" w:rsidRPr="002B056E" w:rsidTr="002B056E">
        <w:trPr>
          <w:trHeight w:val="916"/>
        </w:trPr>
        <w:tc>
          <w:tcPr>
            <w:tcW w:w="3522" w:type="dxa"/>
            <w:noWrap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ГОСТ 21982-76</w:t>
            </w:r>
          </w:p>
        </w:tc>
        <w:tc>
          <w:tcPr>
            <w:tcW w:w="20" w:type="dxa"/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Вещества взрывчатые промышленные. Аммониты водоустойчивые предохранительные. Технические условия</w:t>
            </w:r>
          </w:p>
        </w:tc>
      </w:tr>
      <w:tr w:rsidR="002B056E" w:rsidRPr="002B056E" w:rsidTr="002B056E">
        <w:trPr>
          <w:trHeight w:val="916"/>
        </w:trPr>
        <w:tc>
          <w:tcPr>
            <w:tcW w:w="3522" w:type="dxa"/>
            <w:noWrap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ГОСТ 21983-76</w:t>
            </w:r>
          </w:p>
        </w:tc>
        <w:tc>
          <w:tcPr>
            <w:tcW w:w="20" w:type="dxa"/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 xml:space="preserve">Вещества взрывчатые промышленные. </w:t>
            </w:r>
            <w:proofErr w:type="spellStart"/>
            <w:r w:rsidRPr="002B056E">
              <w:rPr>
                <w:rFonts w:eastAsia="Arial Unicode MS"/>
                <w:sz w:val="24"/>
                <w:szCs w:val="24"/>
              </w:rPr>
              <w:t>Углениты</w:t>
            </w:r>
            <w:proofErr w:type="spellEnd"/>
            <w:r w:rsidRPr="002B056E">
              <w:rPr>
                <w:rFonts w:eastAsia="Arial Unicode MS"/>
                <w:sz w:val="24"/>
                <w:szCs w:val="24"/>
              </w:rPr>
              <w:t>. Технические условия</w:t>
            </w:r>
          </w:p>
        </w:tc>
      </w:tr>
      <w:tr w:rsidR="002B056E" w:rsidRPr="002B056E" w:rsidTr="002B056E">
        <w:trPr>
          <w:trHeight w:val="916"/>
        </w:trPr>
        <w:tc>
          <w:tcPr>
            <w:tcW w:w="3522" w:type="dxa"/>
            <w:noWrap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ГОСТ 21984-76</w:t>
            </w:r>
          </w:p>
        </w:tc>
        <w:tc>
          <w:tcPr>
            <w:tcW w:w="20" w:type="dxa"/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Вещества взрывчатые промышленные. Аммонит № 6ЖВ и аммонал водоустойчивые. Технические условия</w:t>
            </w:r>
          </w:p>
        </w:tc>
      </w:tr>
      <w:tr w:rsidR="002B056E" w:rsidRPr="002B056E" w:rsidTr="002B056E">
        <w:trPr>
          <w:trHeight w:val="916"/>
        </w:trPr>
        <w:tc>
          <w:tcPr>
            <w:tcW w:w="3522" w:type="dxa"/>
            <w:noWrap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ГОСТ 21985-76</w:t>
            </w:r>
          </w:p>
        </w:tc>
        <w:tc>
          <w:tcPr>
            <w:tcW w:w="20" w:type="dxa"/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Вещества взрывчатые промышленные. Аммонал скальный № 1. Технические условия</w:t>
            </w:r>
          </w:p>
        </w:tc>
      </w:tr>
      <w:tr w:rsidR="002B056E" w:rsidRPr="002B056E" w:rsidTr="002B056E">
        <w:trPr>
          <w:trHeight w:val="916"/>
        </w:trPr>
        <w:tc>
          <w:tcPr>
            <w:tcW w:w="3522" w:type="dxa"/>
            <w:noWrap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ГОСТ 21986-76</w:t>
            </w:r>
          </w:p>
        </w:tc>
        <w:tc>
          <w:tcPr>
            <w:tcW w:w="20" w:type="dxa"/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 xml:space="preserve">Вещество взрывчатое промышленное. </w:t>
            </w:r>
            <w:proofErr w:type="spellStart"/>
            <w:r w:rsidRPr="002B056E">
              <w:rPr>
                <w:rFonts w:eastAsia="Arial Unicode MS"/>
                <w:sz w:val="24"/>
                <w:szCs w:val="24"/>
              </w:rPr>
              <w:t>Детонит</w:t>
            </w:r>
            <w:proofErr w:type="spellEnd"/>
            <w:r w:rsidRPr="002B056E">
              <w:rPr>
                <w:rFonts w:eastAsia="Arial Unicode MS"/>
                <w:sz w:val="24"/>
                <w:szCs w:val="24"/>
              </w:rPr>
              <w:t xml:space="preserve"> марки М. Технические условия</w:t>
            </w:r>
          </w:p>
        </w:tc>
      </w:tr>
      <w:tr w:rsidR="002B056E" w:rsidRPr="002B056E" w:rsidTr="002B056E">
        <w:trPr>
          <w:trHeight w:val="916"/>
        </w:trPr>
        <w:tc>
          <w:tcPr>
            <w:tcW w:w="3522" w:type="dxa"/>
            <w:noWrap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ГОСТ 21987-76</w:t>
            </w:r>
          </w:p>
        </w:tc>
        <w:tc>
          <w:tcPr>
            <w:tcW w:w="20" w:type="dxa"/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 xml:space="preserve">Вещества взрывчатые промышленные. </w:t>
            </w:r>
            <w:proofErr w:type="spellStart"/>
            <w:r w:rsidRPr="002B056E">
              <w:rPr>
                <w:rFonts w:eastAsia="Arial Unicode MS"/>
                <w:sz w:val="24"/>
                <w:szCs w:val="24"/>
              </w:rPr>
              <w:t>Гранулиты</w:t>
            </w:r>
            <w:proofErr w:type="spellEnd"/>
            <w:r w:rsidRPr="002B056E">
              <w:rPr>
                <w:rFonts w:eastAsia="Arial Unicode MS"/>
                <w:sz w:val="24"/>
                <w:szCs w:val="24"/>
              </w:rPr>
              <w:t>. Технические условия</w:t>
            </w:r>
          </w:p>
        </w:tc>
      </w:tr>
      <w:tr w:rsidR="002B056E" w:rsidRPr="002B056E" w:rsidTr="002B056E">
        <w:trPr>
          <w:trHeight w:val="916"/>
        </w:trPr>
        <w:tc>
          <w:tcPr>
            <w:tcW w:w="3522" w:type="dxa"/>
            <w:noWrap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ГОСТ 21988-76</w:t>
            </w:r>
          </w:p>
        </w:tc>
        <w:tc>
          <w:tcPr>
            <w:tcW w:w="20" w:type="dxa"/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 xml:space="preserve">Вещества взрывчатые промышленные. </w:t>
            </w:r>
            <w:proofErr w:type="spellStart"/>
            <w:r w:rsidRPr="002B056E">
              <w:rPr>
                <w:rFonts w:eastAsia="Arial Unicode MS"/>
                <w:sz w:val="24"/>
                <w:szCs w:val="24"/>
              </w:rPr>
              <w:t>Граммониты</w:t>
            </w:r>
            <w:proofErr w:type="spellEnd"/>
            <w:r w:rsidRPr="002B056E">
              <w:rPr>
                <w:rFonts w:eastAsia="Arial Unicode MS"/>
                <w:sz w:val="24"/>
                <w:szCs w:val="24"/>
              </w:rPr>
              <w:t>. Технические условия</w:t>
            </w:r>
          </w:p>
        </w:tc>
      </w:tr>
      <w:tr w:rsidR="002B056E" w:rsidRPr="002B056E" w:rsidTr="002B056E">
        <w:trPr>
          <w:trHeight w:val="916"/>
        </w:trPr>
        <w:tc>
          <w:tcPr>
            <w:tcW w:w="3522" w:type="dxa"/>
            <w:noWrap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ГОСТ 25857-83</w:t>
            </w:r>
          </w:p>
        </w:tc>
        <w:tc>
          <w:tcPr>
            <w:tcW w:w="20" w:type="dxa"/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proofErr w:type="spellStart"/>
            <w:r w:rsidRPr="002B056E">
              <w:rPr>
                <w:rFonts w:eastAsia="Arial Unicode MS"/>
                <w:sz w:val="24"/>
                <w:szCs w:val="24"/>
              </w:rPr>
              <w:t>Гранулотол</w:t>
            </w:r>
            <w:proofErr w:type="spellEnd"/>
            <w:r w:rsidRPr="002B056E">
              <w:rPr>
                <w:rFonts w:eastAsia="Arial Unicode MS"/>
                <w:sz w:val="24"/>
                <w:szCs w:val="24"/>
              </w:rPr>
              <w:t>. Технические условия</w:t>
            </w:r>
          </w:p>
        </w:tc>
      </w:tr>
      <w:tr w:rsidR="002B056E" w:rsidRPr="002B056E" w:rsidTr="002B056E">
        <w:trPr>
          <w:trHeight w:val="916"/>
        </w:trPr>
        <w:tc>
          <w:tcPr>
            <w:tcW w:w="3522" w:type="dxa"/>
            <w:noWrap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ГОСТ 26184-84</w:t>
            </w:r>
          </w:p>
        </w:tc>
        <w:tc>
          <w:tcPr>
            <w:tcW w:w="20" w:type="dxa"/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Вещества взрывчатые промышленные. Термины и определения</w:t>
            </w:r>
          </w:p>
        </w:tc>
      </w:tr>
      <w:tr w:rsidR="002B056E" w:rsidRPr="002B056E" w:rsidTr="002B056E">
        <w:trPr>
          <w:trHeight w:val="916"/>
        </w:trPr>
        <w:tc>
          <w:tcPr>
            <w:tcW w:w="3522" w:type="dxa"/>
            <w:noWrap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lastRenderedPageBreak/>
              <w:t>ГОСТ 31814-2012</w:t>
            </w:r>
          </w:p>
        </w:tc>
        <w:tc>
          <w:tcPr>
            <w:tcW w:w="20" w:type="dxa"/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Оценка соответствия. Общие правила отбора образцов для испытаний продукции при подтверждении соответствия</w:t>
            </w:r>
          </w:p>
        </w:tc>
      </w:tr>
      <w:tr w:rsidR="002B056E" w:rsidRPr="002B056E" w:rsidTr="002B056E">
        <w:trPr>
          <w:trHeight w:val="916"/>
        </w:trPr>
        <w:tc>
          <w:tcPr>
            <w:tcW w:w="3522" w:type="dxa"/>
            <w:noWrap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ГОСТ 31815-2012</w:t>
            </w:r>
          </w:p>
        </w:tc>
        <w:tc>
          <w:tcPr>
            <w:tcW w:w="20" w:type="dxa"/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Оценка соответствия. Порядок проведения инспекционного контроля в процедурах сертификации</w:t>
            </w:r>
          </w:p>
        </w:tc>
      </w:tr>
      <w:tr w:rsidR="002B056E" w:rsidRPr="002B056E" w:rsidTr="002B056E">
        <w:trPr>
          <w:trHeight w:val="916"/>
        </w:trPr>
        <w:tc>
          <w:tcPr>
            <w:tcW w:w="3522" w:type="dxa"/>
            <w:noWrap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ГОСТ 31892-2012</w:t>
            </w:r>
          </w:p>
        </w:tc>
        <w:tc>
          <w:tcPr>
            <w:tcW w:w="20" w:type="dxa"/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Система оценки (подтверждения) соответствия Таможенного союза. Основные положения</w:t>
            </w:r>
          </w:p>
        </w:tc>
      </w:tr>
      <w:tr w:rsidR="002B056E" w:rsidRPr="002B056E" w:rsidTr="002B056E">
        <w:trPr>
          <w:trHeight w:val="916"/>
        </w:trPr>
        <w:tc>
          <w:tcPr>
            <w:tcW w:w="3522" w:type="dxa"/>
            <w:noWrap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ГОСТ Р 52035-2003</w:t>
            </w:r>
          </w:p>
        </w:tc>
        <w:tc>
          <w:tcPr>
            <w:tcW w:w="20" w:type="dxa"/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 xml:space="preserve">Вещества взрывчатые промышленные. </w:t>
            </w:r>
            <w:proofErr w:type="spellStart"/>
            <w:r w:rsidRPr="002B056E">
              <w:rPr>
                <w:rFonts w:eastAsia="Arial Unicode MS"/>
                <w:sz w:val="24"/>
                <w:szCs w:val="24"/>
              </w:rPr>
              <w:t>Детонит</w:t>
            </w:r>
            <w:proofErr w:type="spellEnd"/>
            <w:r w:rsidRPr="002B056E">
              <w:rPr>
                <w:rFonts w:eastAsia="Arial Unicode MS"/>
                <w:sz w:val="24"/>
                <w:szCs w:val="24"/>
              </w:rPr>
              <w:t xml:space="preserve"> марки М. Технические условия</w:t>
            </w:r>
          </w:p>
        </w:tc>
      </w:tr>
      <w:tr w:rsidR="002B056E" w:rsidRPr="002B056E" w:rsidTr="002B056E">
        <w:trPr>
          <w:trHeight w:val="916"/>
        </w:trPr>
        <w:tc>
          <w:tcPr>
            <w:tcW w:w="3522" w:type="dxa"/>
            <w:noWrap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ГОСТ Р 52036-2003</w:t>
            </w:r>
          </w:p>
        </w:tc>
        <w:tc>
          <w:tcPr>
            <w:tcW w:w="20" w:type="dxa"/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 xml:space="preserve">Вещества взрывчатые промышленные. </w:t>
            </w:r>
            <w:proofErr w:type="spellStart"/>
            <w:r w:rsidRPr="002B056E">
              <w:rPr>
                <w:rFonts w:eastAsia="Arial Unicode MS"/>
                <w:sz w:val="24"/>
                <w:szCs w:val="24"/>
              </w:rPr>
              <w:t>Угленит</w:t>
            </w:r>
            <w:proofErr w:type="spellEnd"/>
            <w:r w:rsidRPr="002B056E">
              <w:rPr>
                <w:rFonts w:eastAsia="Arial Unicode MS"/>
                <w:sz w:val="24"/>
                <w:szCs w:val="24"/>
              </w:rPr>
              <w:t xml:space="preserve"> марки Э-6. Технические условия</w:t>
            </w:r>
          </w:p>
        </w:tc>
      </w:tr>
    </w:tbl>
    <w:p w:rsidR="002B056E" w:rsidRPr="002B056E" w:rsidRDefault="002B056E" w:rsidP="00486727">
      <w:pPr>
        <w:ind w:left="-426" w:right="55"/>
        <w:rPr>
          <w:color w:val="000000"/>
          <w:sz w:val="24"/>
          <w:szCs w:val="24"/>
        </w:rPr>
      </w:pPr>
      <w:r w:rsidRPr="002B056E">
        <w:rPr>
          <w:color w:val="000000"/>
          <w:sz w:val="24"/>
          <w:szCs w:val="24"/>
        </w:rPr>
        <w:tab/>
      </w:r>
    </w:p>
    <w:tbl>
      <w:tblPr>
        <w:tblW w:w="0" w:type="auto"/>
        <w:tblInd w:w="-5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2"/>
        <w:gridCol w:w="5039"/>
      </w:tblGrid>
      <w:tr w:rsidR="002B056E" w:rsidRPr="002B056E" w:rsidTr="002B056E">
        <w:trPr>
          <w:trHeight w:val="255"/>
        </w:trPr>
        <w:tc>
          <w:tcPr>
            <w:tcW w:w="3522" w:type="dxa"/>
            <w:noWrap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ГОСТ 1028-79</w:t>
            </w:r>
          </w:p>
        </w:tc>
        <w:tc>
          <w:tcPr>
            <w:tcW w:w="0" w:type="auto"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Пороха дымные. Общие технические условия</w:t>
            </w:r>
          </w:p>
        </w:tc>
      </w:tr>
      <w:tr w:rsidR="002B056E" w:rsidRPr="002B056E" w:rsidTr="002B056E">
        <w:trPr>
          <w:trHeight w:val="255"/>
        </w:trPr>
        <w:tc>
          <w:tcPr>
            <w:tcW w:w="3522" w:type="dxa"/>
            <w:noWrap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r w:rsidRPr="002B056E">
              <w:rPr>
                <w:rFonts w:eastAsia="Arial Unicode MS"/>
                <w:sz w:val="24"/>
                <w:szCs w:val="24"/>
              </w:rPr>
              <w:t>ГОСТ 2154-77</w:t>
            </w:r>
          </w:p>
        </w:tc>
        <w:tc>
          <w:tcPr>
            <w:tcW w:w="0" w:type="auto"/>
            <w:tcMar>
              <w:top w:w="13" w:type="dxa"/>
              <w:left w:w="170" w:type="dxa"/>
              <w:bottom w:w="0" w:type="dxa"/>
              <w:right w:w="170" w:type="dxa"/>
            </w:tcMar>
          </w:tcPr>
          <w:p w:rsidR="002B056E" w:rsidRPr="002B056E" w:rsidRDefault="002B056E" w:rsidP="00744A45">
            <w:pPr>
              <w:rPr>
                <w:rFonts w:eastAsia="Arial Unicode MS"/>
                <w:sz w:val="24"/>
                <w:szCs w:val="24"/>
              </w:rPr>
            </w:pPr>
            <w:proofErr w:type="spellStart"/>
            <w:r w:rsidRPr="002B056E">
              <w:rPr>
                <w:rFonts w:eastAsia="Arial Unicode MS"/>
                <w:sz w:val="24"/>
                <w:szCs w:val="24"/>
              </w:rPr>
              <w:t>Централит</w:t>
            </w:r>
            <w:proofErr w:type="spellEnd"/>
            <w:r w:rsidRPr="002B056E">
              <w:rPr>
                <w:rFonts w:eastAsia="Arial Unicode MS"/>
                <w:sz w:val="24"/>
                <w:szCs w:val="24"/>
              </w:rPr>
              <w:t xml:space="preserve"> II. Технические условия</w:t>
            </w:r>
          </w:p>
        </w:tc>
      </w:tr>
    </w:tbl>
    <w:p w:rsidR="002B056E" w:rsidRPr="00486727" w:rsidRDefault="002B056E" w:rsidP="00486727">
      <w:pPr>
        <w:ind w:left="-426" w:right="55"/>
        <w:rPr>
          <w:color w:val="000000"/>
          <w:sz w:val="24"/>
          <w:szCs w:val="24"/>
        </w:rPr>
      </w:pPr>
      <w:bookmarkStart w:id="0" w:name="_GoBack"/>
      <w:bookmarkEnd w:id="0"/>
    </w:p>
    <w:sectPr w:rsidR="002B056E" w:rsidRPr="00486727" w:rsidSect="0046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27"/>
    <w:rsid w:val="000F070F"/>
    <w:rsid w:val="002B056E"/>
    <w:rsid w:val="00466F73"/>
    <w:rsid w:val="00486727"/>
    <w:rsid w:val="00A7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36C55A-53A0-4815-848C-22FFC392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72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6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5">
    <w:name w:val="Font Style45"/>
    <w:uiPriority w:val="99"/>
    <w:rsid w:val="00486727"/>
    <w:rPr>
      <w:rFonts w:ascii="Times New Roman" w:hAnsi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Игорь</cp:lastModifiedBy>
  <cp:revision>2</cp:revision>
  <dcterms:created xsi:type="dcterms:W3CDTF">2016-05-10T13:42:00Z</dcterms:created>
  <dcterms:modified xsi:type="dcterms:W3CDTF">2016-05-10T13:42:00Z</dcterms:modified>
</cp:coreProperties>
</file>